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1597D28C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61C8C385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CB6710">
              <w:rPr>
                <w:b/>
                <w:spacing w:val="-2"/>
                <w:sz w:val="32"/>
              </w:rPr>
              <w:t>7</w:t>
            </w:r>
            <w:r w:rsidR="00503A8B">
              <w:rPr>
                <w:b/>
                <w:spacing w:val="-2"/>
                <w:sz w:val="32"/>
              </w:rPr>
              <w:t xml:space="preserve"> JLD.</w:t>
            </w:r>
            <w:r w:rsidR="00CB6710">
              <w:rPr>
                <w:b/>
                <w:spacing w:val="-2"/>
                <w:sz w:val="32"/>
              </w:rPr>
              <w:t>9</w:t>
            </w:r>
          </w:p>
        </w:tc>
        <w:tc>
          <w:tcPr>
            <w:tcW w:w="4618" w:type="dxa"/>
          </w:tcPr>
          <w:p w14:paraId="732F8CDF" w14:textId="45C6416D" w:rsidR="000512C9" w:rsidRDefault="00CB6710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>[HIJAU] BEKALAN TONER/KATRIJ UNTUK MESIN PENCETAK 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755E304A" w:rsidR="004F28DA" w:rsidRDefault="00CB6710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WORLDWIDE ATTRACTION SDN. BHD.</w:t>
            </w:r>
            <w:r w:rsidR="00482601">
              <w:rPr>
                <w:b/>
                <w:sz w:val="32"/>
              </w:rPr>
              <w:t xml:space="preserve"> (235920-P)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709A1319" w:rsidR="000512C9" w:rsidRPr="00E56BDE" w:rsidRDefault="00CB6710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RM1,730,336.90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6DAF57FF" w:rsidR="000512C9" w:rsidRDefault="00CB6710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629D8"/>
    <w:rsid w:val="00262D9E"/>
    <w:rsid w:val="00373685"/>
    <w:rsid w:val="003934A6"/>
    <w:rsid w:val="0045374E"/>
    <w:rsid w:val="00482601"/>
    <w:rsid w:val="004B0DB0"/>
    <w:rsid w:val="004F28DA"/>
    <w:rsid w:val="00503A8B"/>
    <w:rsid w:val="00664149"/>
    <w:rsid w:val="00704521"/>
    <w:rsid w:val="00743C38"/>
    <w:rsid w:val="0096411C"/>
    <w:rsid w:val="009713CC"/>
    <w:rsid w:val="00977A7F"/>
    <w:rsid w:val="00A413AE"/>
    <w:rsid w:val="00CB6710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11</cp:revision>
  <dcterms:created xsi:type="dcterms:W3CDTF">2024-11-05T02:34:00Z</dcterms:created>
  <dcterms:modified xsi:type="dcterms:W3CDTF">2025-11-10T06:28:00Z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